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07AB" w14:textId="77777777" w:rsidR="0030516E" w:rsidRDefault="00317D03">
      <w:pPr>
        <w:rPr>
          <w:sz w:val="36"/>
          <w:szCs w:val="36"/>
        </w:rPr>
      </w:pPr>
      <w:bookmarkStart w:id="0" w:name="_GoBack"/>
      <w:bookmarkEnd w:id="0"/>
      <w:r w:rsidRPr="00A07C2A">
        <w:rPr>
          <w:sz w:val="36"/>
          <w:szCs w:val="36"/>
        </w:rPr>
        <w:t xml:space="preserve">Could </w:t>
      </w:r>
      <w:r w:rsidR="00C868CA" w:rsidRPr="00A07C2A">
        <w:rPr>
          <w:sz w:val="36"/>
          <w:szCs w:val="36"/>
        </w:rPr>
        <w:t>robust forecasting software help directors</w:t>
      </w:r>
      <w:r w:rsidR="00322410" w:rsidRPr="00A07C2A">
        <w:rPr>
          <w:sz w:val="36"/>
          <w:szCs w:val="36"/>
        </w:rPr>
        <w:t xml:space="preserve"> and </w:t>
      </w:r>
      <w:r w:rsidR="00867965">
        <w:rPr>
          <w:sz w:val="36"/>
          <w:szCs w:val="36"/>
        </w:rPr>
        <w:t xml:space="preserve">auditors </w:t>
      </w:r>
      <w:r w:rsidR="00C868CA" w:rsidRPr="00A07C2A">
        <w:rPr>
          <w:sz w:val="36"/>
          <w:szCs w:val="36"/>
        </w:rPr>
        <w:t>do a better job</w:t>
      </w:r>
      <w:r w:rsidR="00250222">
        <w:rPr>
          <w:sz w:val="36"/>
          <w:szCs w:val="36"/>
        </w:rPr>
        <w:t xml:space="preserve"> – for</w:t>
      </w:r>
      <w:r w:rsidR="00867965">
        <w:rPr>
          <w:sz w:val="36"/>
          <w:szCs w:val="36"/>
        </w:rPr>
        <w:t xml:space="preserve"> the benefit of shareholders</w:t>
      </w:r>
      <w:r w:rsidR="00C868CA" w:rsidRPr="00A07C2A">
        <w:rPr>
          <w:sz w:val="36"/>
          <w:szCs w:val="36"/>
        </w:rPr>
        <w:t>?</w:t>
      </w:r>
    </w:p>
    <w:p w14:paraId="35B5DF8F" w14:textId="4234F2BD" w:rsidR="00E5442C" w:rsidRDefault="00E5442C">
      <w:r w:rsidRPr="00B03E3F">
        <w:rPr>
          <w:sz w:val="28"/>
          <w:szCs w:val="28"/>
        </w:rPr>
        <w:br/>
      </w:r>
      <w:r>
        <w:t xml:space="preserve">Investors </w:t>
      </w:r>
      <w:r w:rsidR="00317D03">
        <w:t xml:space="preserve">have been shocked </w:t>
      </w:r>
      <w:r>
        <w:t xml:space="preserve">by </w:t>
      </w:r>
      <w:r w:rsidR="00496E33">
        <w:t xml:space="preserve">recent </w:t>
      </w:r>
      <w:r w:rsidR="007B383C">
        <w:t xml:space="preserve">corporate </w:t>
      </w:r>
      <w:r w:rsidR="005E1D27">
        <w:t>scandals</w:t>
      </w:r>
      <w:r w:rsidR="00496E33">
        <w:t xml:space="preserve"> such as </w:t>
      </w:r>
      <w:r>
        <w:t xml:space="preserve">Carillion, </w:t>
      </w:r>
      <w:r w:rsidR="005B5530">
        <w:rPr>
          <w:bCs/>
        </w:rPr>
        <w:t xml:space="preserve">Patisserie Valerie </w:t>
      </w:r>
      <w:r w:rsidR="005B5530">
        <w:t>and</w:t>
      </w:r>
      <w:r w:rsidR="007A61F4">
        <w:t xml:space="preserve"> </w:t>
      </w:r>
      <w:r>
        <w:t xml:space="preserve">Steinhoff </w:t>
      </w:r>
      <w:r w:rsidR="005B5530">
        <w:t xml:space="preserve">International </w:t>
      </w:r>
      <w:r>
        <w:t xml:space="preserve">in South Africa </w:t>
      </w:r>
      <w:r w:rsidR="00317D03">
        <w:t>….</w:t>
      </w:r>
    </w:p>
    <w:p w14:paraId="09BEB86A" w14:textId="07ADFA00" w:rsidR="00030043" w:rsidRDefault="00030043">
      <w:r>
        <w:t xml:space="preserve">Directors’ duties are onerous and the obligations – at least for </w:t>
      </w:r>
      <w:r w:rsidR="006B46F6">
        <w:t xml:space="preserve">those premium </w:t>
      </w:r>
      <w:r>
        <w:t>l</w:t>
      </w:r>
      <w:r w:rsidR="00A00E18">
        <w:t>isted companies</w:t>
      </w:r>
      <w:r w:rsidR="006B46F6">
        <w:t xml:space="preserve"> on the LSE</w:t>
      </w:r>
      <w:r w:rsidR="005E1D27">
        <w:t xml:space="preserve"> – are </w:t>
      </w:r>
      <w:r>
        <w:t xml:space="preserve">clearly set out in the UK Corporate Governance Code </w:t>
      </w:r>
      <w:r w:rsidR="007B383C">
        <w:t xml:space="preserve">2018 (CGC) </w:t>
      </w:r>
      <w:r>
        <w:t>and now for</w:t>
      </w:r>
      <w:r w:rsidR="00C363B2">
        <w:t xml:space="preserve"> large</w:t>
      </w:r>
      <w:r>
        <w:t xml:space="preserve"> unlisted </w:t>
      </w:r>
      <w:r w:rsidR="00A07C2A">
        <w:t xml:space="preserve">UK </w:t>
      </w:r>
      <w:r>
        <w:t xml:space="preserve">companies, in the Wates </w:t>
      </w:r>
      <w:r w:rsidR="00C363B2">
        <w:t xml:space="preserve">Principles </w:t>
      </w:r>
      <w:r w:rsidR="00F02D5E">
        <w:t xml:space="preserve">due for release </w:t>
      </w:r>
      <w:r w:rsidR="00C363B2">
        <w:t>in December this year.</w:t>
      </w:r>
    </w:p>
    <w:p w14:paraId="57DCBE2D" w14:textId="71B86532" w:rsidR="00030043" w:rsidRDefault="00030043">
      <w:r>
        <w:t xml:space="preserve">Non-Execs are required </w:t>
      </w:r>
      <w:r w:rsidR="007B383C">
        <w:t xml:space="preserve">by the CGC </w:t>
      </w:r>
      <w:r>
        <w:t>to provide “</w:t>
      </w:r>
      <w:r w:rsidR="004348D9">
        <w:t>constructive</w:t>
      </w:r>
      <w:r>
        <w:t xml:space="preserve"> challenge</w:t>
      </w:r>
      <w:r w:rsidR="004348D9">
        <w:t xml:space="preserve"> …</w:t>
      </w:r>
      <w:r w:rsidR="00CD4337">
        <w:t xml:space="preserve"> and hold management to account</w:t>
      </w:r>
      <w:r>
        <w:t>”</w:t>
      </w:r>
      <w:r w:rsidR="005113EA">
        <w:rPr>
          <w:rStyle w:val="FootnoteReference"/>
        </w:rPr>
        <w:footnoteReference w:id="1"/>
      </w:r>
      <w:r>
        <w:t xml:space="preserve">  </w:t>
      </w:r>
      <w:r w:rsidR="00CD4337">
        <w:t>and</w:t>
      </w:r>
      <w:r w:rsidR="004F3B35">
        <w:t xml:space="preserve"> “The board should establish formal and transparent policies and procedures to ensure the independence and effectiveness of internal and external audit functions and satisfy itself on the integrity of financial and narrative statements.”</w:t>
      </w:r>
      <w:r w:rsidR="004F3B35">
        <w:rPr>
          <w:rStyle w:val="FootnoteReference"/>
        </w:rPr>
        <w:footnoteReference w:id="2"/>
      </w:r>
      <w:r w:rsidR="00CD4337">
        <w:t xml:space="preserve"> It also charges dire</w:t>
      </w:r>
      <w:r w:rsidR="00A32526">
        <w:t>ctors that when carrying out “</w:t>
      </w:r>
      <w:r w:rsidR="00CD4337">
        <w:t>robust assessment of the company’s emerging and principle risks”</w:t>
      </w:r>
      <w:r w:rsidR="00CD4337">
        <w:rPr>
          <w:rStyle w:val="FootnoteReference"/>
        </w:rPr>
        <w:footnoteReference w:id="3"/>
      </w:r>
      <w:r w:rsidR="008A47C5">
        <w:t xml:space="preserve">, they </w:t>
      </w:r>
      <w:r w:rsidR="00D82C6D">
        <w:t>consider</w:t>
      </w:r>
      <w:r w:rsidR="00CD4337">
        <w:t xml:space="preserve"> those risks that “might threaten the company’s business model, future performance, solvency or liquidity and reputation.”</w:t>
      </w:r>
      <w:r w:rsidR="00CD4337">
        <w:rPr>
          <w:rStyle w:val="FootnoteReference"/>
        </w:rPr>
        <w:footnoteReference w:id="4"/>
      </w:r>
    </w:p>
    <w:p w14:paraId="2AA18734" w14:textId="21F6E6DD" w:rsidR="008B4559" w:rsidRDefault="00557599">
      <w:pPr>
        <w:rPr>
          <w:bCs/>
        </w:rPr>
      </w:pPr>
      <w:r>
        <w:rPr>
          <w:noProof/>
        </w:rPr>
        <w:drawing>
          <wp:anchor distT="0" distB="0" distL="114300" distR="114300" simplePos="0" relativeHeight="251658240" behindDoc="0" locked="0" layoutInCell="1" allowOverlap="1" wp14:anchorId="637C5DE1" wp14:editId="0BCF1F26">
            <wp:simplePos x="0" y="0"/>
            <wp:positionH relativeFrom="column">
              <wp:posOffset>10432</wp:posOffset>
            </wp:positionH>
            <wp:positionV relativeFrom="paragraph">
              <wp:posOffset>1329055</wp:posOffset>
            </wp:positionV>
            <wp:extent cx="2231390" cy="1598930"/>
            <wp:effectExtent l="0" t="0" r="0" b="1270"/>
            <wp:wrapSquare wrapText="bothSides"/>
            <wp:docPr id="1" name="Picture 1"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inhoff share pr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390" cy="1598930"/>
                    </a:xfrm>
                    <a:prstGeom prst="rect">
                      <a:avLst/>
                    </a:prstGeom>
                  </pic:spPr>
                </pic:pic>
              </a:graphicData>
            </a:graphic>
            <wp14:sizeRelH relativeFrom="margin">
              <wp14:pctWidth>0</wp14:pctWidth>
            </wp14:sizeRelH>
            <wp14:sizeRelV relativeFrom="margin">
              <wp14:pctHeight>0</wp14:pctHeight>
            </wp14:sizeRelV>
          </wp:anchor>
        </w:drawing>
      </w:r>
      <w:r w:rsidR="00A32526">
        <w:t xml:space="preserve">These injunctions, clearly well intentioned, </w:t>
      </w:r>
      <w:r w:rsidR="00821E7A">
        <w:t xml:space="preserve">weren’t enough to prevent </w:t>
      </w:r>
      <w:r w:rsidR="00322410">
        <w:t xml:space="preserve">Carillion, the second largest contractor in the UK from going bust in January with </w:t>
      </w:r>
      <w:r w:rsidR="00D57BF3">
        <w:t>£29m in cash</w:t>
      </w:r>
      <w:r w:rsidR="004C1DBC">
        <w:t xml:space="preserve"> but liabilities of £7billion</w:t>
      </w:r>
      <w:r w:rsidR="00322410">
        <w:t>!</w:t>
      </w:r>
      <w:r w:rsidR="004B3AB2">
        <w:t xml:space="preserve"> The </w:t>
      </w:r>
      <w:hyperlink r:id="rId11" w:history="1">
        <w:r w:rsidR="00DD4A2B" w:rsidRPr="00471FDD">
          <w:rPr>
            <w:rStyle w:val="Hyperlink"/>
          </w:rPr>
          <w:t xml:space="preserve">UK </w:t>
        </w:r>
        <w:r w:rsidR="00D82D3C" w:rsidRPr="00471FDD">
          <w:rPr>
            <w:rStyle w:val="Hyperlink"/>
          </w:rPr>
          <w:t xml:space="preserve">Parliamentary </w:t>
        </w:r>
        <w:r w:rsidR="004B3AB2" w:rsidRPr="00471FDD">
          <w:rPr>
            <w:rStyle w:val="Hyperlink"/>
          </w:rPr>
          <w:t>Report</w:t>
        </w:r>
        <w:r w:rsidR="00393FFB" w:rsidRPr="00471FDD">
          <w:rPr>
            <w:rStyle w:val="Hyperlink"/>
          </w:rPr>
          <w:t xml:space="preserve"> on Carillion</w:t>
        </w:r>
      </w:hyperlink>
      <w:r w:rsidR="007C2DAC">
        <w:rPr>
          <w:rStyle w:val="FootnoteReference"/>
        </w:rPr>
        <w:footnoteReference w:id="5"/>
      </w:r>
      <w:r w:rsidR="00D82D3C">
        <w:t xml:space="preserve"> makes sobering reading</w:t>
      </w:r>
      <w:r w:rsidR="004B3AB2">
        <w:t xml:space="preserve"> </w:t>
      </w:r>
      <w:r w:rsidR="00CC45F0">
        <w:t xml:space="preserve">(and should be </w:t>
      </w:r>
      <w:r w:rsidR="00B52E30">
        <w:t>compulsory</w:t>
      </w:r>
      <w:r w:rsidR="009E6BCF">
        <w:t xml:space="preserve"> </w:t>
      </w:r>
      <w:r w:rsidR="00FE230E">
        <w:t xml:space="preserve">reading </w:t>
      </w:r>
      <w:r w:rsidR="009E6BCF">
        <w:t>for f</w:t>
      </w:r>
      <w:r w:rsidR="00B50B67">
        <w:t>inance students everywhere!). In</w:t>
      </w:r>
      <w:r w:rsidR="009E6BCF">
        <w:t xml:space="preserve"> their </w:t>
      </w:r>
      <w:r w:rsidR="00B52E30">
        <w:t>Conclusion</w:t>
      </w:r>
      <w:r w:rsidR="009E6BCF">
        <w:t xml:space="preserve"> the Parliamentarians, whilst admitting that most companies aren’t run with Carillion’s reckless short-termism, warn that Carillion could happen again and suggest </w:t>
      </w:r>
      <w:r w:rsidR="00427E98">
        <w:t>“</w:t>
      </w:r>
      <w:r w:rsidR="009E6BCF" w:rsidRPr="009E6BCF">
        <w:rPr>
          <w:bCs/>
        </w:rPr>
        <w:t xml:space="preserve">Government </w:t>
      </w:r>
      <w:r w:rsidR="009E6BCF">
        <w:rPr>
          <w:bCs/>
        </w:rPr>
        <w:t>(should)</w:t>
      </w:r>
      <w:r w:rsidR="009E6BCF" w:rsidRPr="009E6BCF">
        <w:rPr>
          <w:bCs/>
        </w:rPr>
        <w:t> grasp the initiative with an ambitious and wide-ranging set of reforms that reset our systems of corporate accountability in the long-term public interest</w:t>
      </w:r>
      <w:r w:rsidR="00427E98">
        <w:rPr>
          <w:bCs/>
        </w:rPr>
        <w:t>”</w:t>
      </w:r>
      <w:r w:rsidR="009E6BCF" w:rsidRPr="009E6BCF">
        <w:rPr>
          <w:bCs/>
        </w:rPr>
        <w:t>.</w:t>
      </w:r>
    </w:p>
    <w:p w14:paraId="52D29F9E" w14:textId="0399F4B3" w:rsidR="00821E7A" w:rsidRDefault="00557599">
      <w:pPr>
        <w:rPr>
          <w:bCs/>
        </w:rPr>
      </w:pPr>
      <w:r>
        <w:rPr>
          <w:bCs/>
        </w:rPr>
        <w:t xml:space="preserve">In South Africa the collapse of </w:t>
      </w:r>
      <w:hyperlink r:id="rId12" w:history="1">
        <w:r w:rsidRPr="00CB315D">
          <w:rPr>
            <w:rStyle w:val="Hyperlink"/>
            <w:bCs/>
          </w:rPr>
          <w:t>Steinhoff International</w:t>
        </w:r>
      </w:hyperlink>
      <w:r>
        <w:rPr>
          <w:bCs/>
        </w:rPr>
        <w:t xml:space="preserve">, listed in Johannesburg and Frankfurt and the owner of Poundland in the UK, Mattress Group in the US and </w:t>
      </w:r>
      <w:proofErr w:type="spellStart"/>
      <w:r>
        <w:rPr>
          <w:bCs/>
        </w:rPr>
        <w:t>Conformama</w:t>
      </w:r>
      <w:proofErr w:type="spellEnd"/>
      <w:r>
        <w:rPr>
          <w:bCs/>
        </w:rPr>
        <w:t xml:space="preserve"> in France came like a “bolt out of the blue” to Chris</w:t>
      </w:r>
      <w:r w:rsidR="00A07C2A">
        <w:rPr>
          <w:bCs/>
        </w:rPr>
        <w:t>t</w:t>
      </w:r>
      <w:r>
        <w:rPr>
          <w:bCs/>
        </w:rPr>
        <w:t>o Wiese, who lost his status as o</w:t>
      </w:r>
      <w:r w:rsidR="00E2257F">
        <w:rPr>
          <w:bCs/>
        </w:rPr>
        <w:t>ne of the richest men in Africa and Steinhoff’s Chairman</w:t>
      </w:r>
      <w:r w:rsidR="00CB315D">
        <w:rPr>
          <w:bCs/>
        </w:rPr>
        <w:t xml:space="preserve"> when </w:t>
      </w:r>
      <w:r w:rsidR="002A4FEE">
        <w:rPr>
          <w:bCs/>
        </w:rPr>
        <w:t>Steinhoff lost</w:t>
      </w:r>
      <w:r>
        <w:rPr>
          <w:bCs/>
        </w:rPr>
        <w:t xml:space="preserve"> </w:t>
      </w:r>
      <w:r w:rsidR="000821A4">
        <w:rPr>
          <w:bCs/>
        </w:rPr>
        <w:t>98</w:t>
      </w:r>
      <w:r w:rsidR="00C855F1">
        <w:rPr>
          <w:bCs/>
        </w:rPr>
        <w:t xml:space="preserve">% </w:t>
      </w:r>
      <w:r w:rsidR="002A4FEE">
        <w:rPr>
          <w:bCs/>
        </w:rPr>
        <w:t xml:space="preserve">-  $15bn </w:t>
      </w:r>
      <w:r w:rsidR="00A533CE">
        <w:rPr>
          <w:bCs/>
        </w:rPr>
        <w:t>-</w:t>
      </w:r>
      <w:r w:rsidR="002A4FEE">
        <w:rPr>
          <w:bCs/>
        </w:rPr>
        <w:t xml:space="preserve"> of its</w:t>
      </w:r>
      <w:r w:rsidR="00C855F1">
        <w:rPr>
          <w:bCs/>
        </w:rPr>
        <w:t xml:space="preserve"> </w:t>
      </w:r>
      <w:r w:rsidR="00CB315D">
        <w:rPr>
          <w:bCs/>
        </w:rPr>
        <w:t>share value</w:t>
      </w:r>
      <w:r w:rsidR="000821A4">
        <w:rPr>
          <w:bCs/>
        </w:rPr>
        <w:t xml:space="preserve">. </w:t>
      </w:r>
    </w:p>
    <w:p w14:paraId="55DC2E9A" w14:textId="1BC96020" w:rsidR="00060C4F" w:rsidRDefault="00CB315D" w:rsidP="00060C4F">
      <w:pPr>
        <w:rPr>
          <w:bCs/>
        </w:rPr>
      </w:pPr>
      <w:r>
        <w:rPr>
          <w:bCs/>
        </w:rPr>
        <w:t>Wiese learnt o</w:t>
      </w:r>
      <w:r w:rsidR="00E2257F">
        <w:rPr>
          <w:bCs/>
        </w:rPr>
        <w:t xml:space="preserve">f Steinhoff’s troubles </w:t>
      </w:r>
      <w:r>
        <w:rPr>
          <w:bCs/>
        </w:rPr>
        <w:t>three days befor</w:t>
      </w:r>
      <w:r w:rsidR="00060C4F">
        <w:rPr>
          <w:bCs/>
        </w:rPr>
        <w:t>e the a</w:t>
      </w:r>
      <w:r>
        <w:rPr>
          <w:bCs/>
        </w:rPr>
        <w:t>ccounts were due to be finalised in December 2017.</w:t>
      </w:r>
      <w:r w:rsidR="00ED2F7F">
        <w:rPr>
          <w:bCs/>
        </w:rPr>
        <w:t xml:space="preserve"> </w:t>
      </w:r>
      <w:r w:rsidR="008010AA">
        <w:rPr>
          <w:bCs/>
        </w:rPr>
        <w:t>But not all were as surprised by the co</w:t>
      </w:r>
      <w:r w:rsidR="00060C4F">
        <w:rPr>
          <w:bCs/>
        </w:rPr>
        <w:t xml:space="preserve">llapse. Magda </w:t>
      </w:r>
      <w:proofErr w:type="spellStart"/>
      <w:r w:rsidR="00060C4F">
        <w:rPr>
          <w:bCs/>
        </w:rPr>
        <w:t>Wierzycka</w:t>
      </w:r>
      <w:proofErr w:type="spellEnd"/>
      <w:r w:rsidR="00060C4F">
        <w:rPr>
          <w:bCs/>
        </w:rPr>
        <w:t xml:space="preserve">, of </w:t>
      </w:r>
      <w:proofErr w:type="spellStart"/>
      <w:r w:rsidR="00060C4F">
        <w:rPr>
          <w:bCs/>
        </w:rPr>
        <w:t>Sygnia</w:t>
      </w:r>
      <w:proofErr w:type="spellEnd"/>
      <w:r w:rsidR="00060C4F">
        <w:rPr>
          <w:bCs/>
        </w:rPr>
        <w:t xml:space="preserve">, </w:t>
      </w:r>
      <w:r w:rsidR="00E2257F">
        <w:rPr>
          <w:bCs/>
        </w:rPr>
        <w:t xml:space="preserve">Cape Town based </w:t>
      </w:r>
      <w:proofErr w:type="spellStart"/>
      <w:r w:rsidR="00E2257F">
        <w:rPr>
          <w:bCs/>
        </w:rPr>
        <w:t>fund</w:t>
      </w:r>
      <w:r w:rsidR="005608A8">
        <w:rPr>
          <w:bCs/>
        </w:rPr>
        <w:t>manager</w:t>
      </w:r>
      <w:proofErr w:type="spellEnd"/>
      <w:r w:rsidR="00060C4F">
        <w:rPr>
          <w:bCs/>
        </w:rPr>
        <w:t xml:space="preserve"> said </w:t>
      </w:r>
      <w:proofErr w:type="gramStart"/>
      <w:r w:rsidR="00060C4F">
        <w:rPr>
          <w:bCs/>
        </w:rPr>
        <w:t xml:space="preserve">it </w:t>
      </w:r>
      <w:r w:rsidR="005608A8">
        <w:rPr>
          <w:bCs/>
        </w:rPr>
        <w:t xml:space="preserve"> took</w:t>
      </w:r>
      <w:proofErr w:type="gramEnd"/>
      <w:r w:rsidR="005608A8">
        <w:rPr>
          <w:bCs/>
        </w:rPr>
        <w:t xml:space="preserve"> her “exactly half an hour</w:t>
      </w:r>
      <w:r w:rsidR="00060C4F">
        <w:rPr>
          <w:bCs/>
        </w:rPr>
        <w:t xml:space="preserve"> to go through Steinhoff’s accounts and conclude that its </w:t>
      </w:r>
      <w:proofErr w:type="spellStart"/>
      <w:r w:rsidR="00060C4F">
        <w:rPr>
          <w:bCs/>
        </w:rPr>
        <w:t>dealmaking</w:t>
      </w:r>
      <w:proofErr w:type="spellEnd"/>
      <w:r w:rsidR="00060C4F">
        <w:rPr>
          <w:bCs/>
        </w:rPr>
        <w:t xml:space="preserve"> made no sense</w:t>
      </w:r>
      <w:r w:rsidR="00A34F48">
        <w:rPr>
          <w:bCs/>
        </w:rPr>
        <w:t>.</w:t>
      </w:r>
      <w:r w:rsidR="00060C4F">
        <w:rPr>
          <w:bCs/>
        </w:rPr>
        <w:t>”</w:t>
      </w:r>
    </w:p>
    <w:p w14:paraId="18B17D2B" w14:textId="2B81DD3B" w:rsidR="00A34F48" w:rsidRDefault="00CA1AD0" w:rsidP="00060C4F">
      <w:pPr>
        <w:rPr>
          <w:bCs/>
        </w:rPr>
      </w:pPr>
      <w:r>
        <w:rPr>
          <w:bCs/>
        </w:rPr>
        <w:t>The UK market was again rock</w:t>
      </w:r>
      <w:r w:rsidR="00516EEB">
        <w:rPr>
          <w:bCs/>
        </w:rPr>
        <w:t xml:space="preserve">ed in October by the </w:t>
      </w:r>
      <w:r w:rsidR="00516EEB" w:rsidRPr="009D0EBC">
        <w:rPr>
          <w:bCs/>
        </w:rPr>
        <w:t xml:space="preserve">near </w:t>
      </w:r>
      <w:r>
        <w:rPr>
          <w:bCs/>
        </w:rPr>
        <w:t xml:space="preserve">collapse of Patisserie Valerie where the question wasn’t so much where the cash had gone, but where it had come </w:t>
      </w:r>
      <w:r w:rsidRPr="009D0EBC">
        <w:rPr>
          <w:bCs/>
          <w:i/>
        </w:rPr>
        <w:t>from</w:t>
      </w:r>
      <w:r>
        <w:rPr>
          <w:bCs/>
        </w:rPr>
        <w:t>? The Board discovered the company had used up</w:t>
      </w:r>
      <w:r w:rsidR="00593138">
        <w:rPr>
          <w:bCs/>
        </w:rPr>
        <w:t xml:space="preserve"> almost £10m of bank credit they</w:t>
      </w:r>
      <w:r>
        <w:rPr>
          <w:bCs/>
        </w:rPr>
        <w:t xml:space="preserve"> didn’t know they had! The company was </w:t>
      </w:r>
      <w:r w:rsidR="00712B73">
        <w:rPr>
          <w:bCs/>
        </w:rPr>
        <w:t>pulled back from the brink</w:t>
      </w:r>
      <w:r>
        <w:rPr>
          <w:bCs/>
        </w:rPr>
        <w:t xml:space="preserve"> by the</w:t>
      </w:r>
      <w:r w:rsidR="009055D2">
        <w:rPr>
          <w:bCs/>
        </w:rPr>
        <w:t xml:space="preserve"> injection</w:t>
      </w:r>
      <w:r>
        <w:rPr>
          <w:bCs/>
        </w:rPr>
        <w:t xml:space="preserve"> </w:t>
      </w:r>
      <w:r w:rsidR="00ED2F7F">
        <w:rPr>
          <w:bCs/>
        </w:rPr>
        <w:t>of</w:t>
      </w:r>
      <w:r>
        <w:rPr>
          <w:bCs/>
        </w:rPr>
        <w:t xml:space="preserve"> </w:t>
      </w:r>
      <w:r w:rsidR="00712B73">
        <w:rPr>
          <w:bCs/>
        </w:rPr>
        <w:t>£20m of interest free loan</w:t>
      </w:r>
      <w:r w:rsidR="00ED2F7F">
        <w:rPr>
          <w:bCs/>
        </w:rPr>
        <w:t>s</w:t>
      </w:r>
      <w:r w:rsidR="00AE77ED">
        <w:rPr>
          <w:bCs/>
        </w:rPr>
        <w:t xml:space="preserve"> by</w:t>
      </w:r>
      <w:r w:rsidR="00ED2F7F">
        <w:rPr>
          <w:bCs/>
        </w:rPr>
        <w:t xml:space="preserve"> the </w:t>
      </w:r>
      <w:r w:rsidR="00ED2F7F">
        <w:rPr>
          <w:bCs/>
        </w:rPr>
        <w:lastRenderedPageBreak/>
        <w:t xml:space="preserve">chairman </w:t>
      </w:r>
      <w:r w:rsidR="00712B73">
        <w:rPr>
          <w:bCs/>
        </w:rPr>
        <w:t>and an emergency share issue at 88% below the pre-suspension price!</w:t>
      </w:r>
      <w:r w:rsidR="00712B73">
        <w:rPr>
          <w:rStyle w:val="FootnoteReference"/>
          <w:bCs/>
        </w:rPr>
        <w:footnoteReference w:id="6"/>
      </w:r>
      <w:r w:rsidR="00593138">
        <w:rPr>
          <w:bCs/>
        </w:rPr>
        <w:t xml:space="preserve"> Apart from destruction of their investment</w:t>
      </w:r>
      <w:r w:rsidR="00422429">
        <w:rPr>
          <w:bCs/>
        </w:rPr>
        <w:t xml:space="preserve"> value, investors were further ang</w:t>
      </w:r>
      <w:r w:rsidR="003C2C72">
        <w:rPr>
          <w:bCs/>
        </w:rPr>
        <w:t>ered to discover</w:t>
      </w:r>
      <w:r w:rsidR="00422429">
        <w:rPr>
          <w:bCs/>
        </w:rPr>
        <w:t xml:space="preserve"> the CEO and Finance Director had been awarded millions of pounds of share bonuse</w:t>
      </w:r>
      <w:r w:rsidR="006B561B">
        <w:rPr>
          <w:bCs/>
        </w:rPr>
        <w:t xml:space="preserve">s without </w:t>
      </w:r>
      <w:r w:rsidR="00AE4E6F">
        <w:rPr>
          <w:bCs/>
        </w:rPr>
        <w:t>shareholder</w:t>
      </w:r>
      <w:r w:rsidR="006B561B">
        <w:rPr>
          <w:bCs/>
        </w:rPr>
        <w:t xml:space="preserve"> </w:t>
      </w:r>
      <w:r w:rsidR="00AE4E6F">
        <w:rPr>
          <w:bCs/>
        </w:rPr>
        <w:t>notification</w:t>
      </w:r>
      <w:r w:rsidR="00422429">
        <w:rPr>
          <w:bCs/>
        </w:rPr>
        <w:t>.</w:t>
      </w:r>
    </w:p>
    <w:p w14:paraId="640FFF2B" w14:textId="29D92590" w:rsidR="00E01912" w:rsidRDefault="00E01912" w:rsidP="00060C4F">
      <w:pPr>
        <w:rPr>
          <w:bCs/>
        </w:rPr>
      </w:pPr>
      <w:r>
        <w:rPr>
          <w:bCs/>
        </w:rPr>
        <w:t xml:space="preserve">Directors blindsided, </w:t>
      </w:r>
      <w:r w:rsidR="007B7763">
        <w:rPr>
          <w:bCs/>
        </w:rPr>
        <w:t xml:space="preserve">recklessness, </w:t>
      </w:r>
      <w:r>
        <w:rPr>
          <w:bCs/>
        </w:rPr>
        <w:t>frau</w:t>
      </w:r>
      <w:r w:rsidR="001E1F88">
        <w:rPr>
          <w:bCs/>
        </w:rPr>
        <w:t xml:space="preserve">d, </w:t>
      </w:r>
      <w:proofErr w:type="gramStart"/>
      <w:r w:rsidR="001E1F88">
        <w:rPr>
          <w:bCs/>
        </w:rPr>
        <w:t>auditors</w:t>
      </w:r>
      <w:proofErr w:type="gramEnd"/>
      <w:r w:rsidR="001E1F88">
        <w:rPr>
          <w:bCs/>
        </w:rPr>
        <w:t xml:space="preserve"> incompetence, poor</w:t>
      </w:r>
      <w:r w:rsidR="007B7763">
        <w:rPr>
          <w:bCs/>
        </w:rPr>
        <w:t xml:space="preserve"> or non-existent governance </w:t>
      </w:r>
      <w:r w:rsidR="005608A8">
        <w:rPr>
          <w:bCs/>
        </w:rPr>
        <w:t>abound in</w:t>
      </w:r>
      <w:r w:rsidR="00F26BC2">
        <w:rPr>
          <w:bCs/>
        </w:rPr>
        <w:t xml:space="preserve"> these horror stories</w:t>
      </w:r>
      <w:r w:rsidR="007B7763">
        <w:rPr>
          <w:bCs/>
        </w:rPr>
        <w:t xml:space="preserve">. What can be done to improve the situation for the (well-intentioned) directors, the wide-awake auditors and </w:t>
      </w:r>
      <w:r w:rsidR="00D84DCE">
        <w:rPr>
          <w:bCs/>
        </w:rPr>
        <w:t xml:space="preserve">long-suffering </w:t>
      </w:r>
      <w:r w:rsidR="007B7763">
        <w:rPr>
          <w:bCs/>
        </w:rPr>
        <w:t>investors?</w:t>
      </w:r>
      <w:r w:rsidR="00F26BC2">
        <w:rPr>
          <w:bCs/>
        </w:rPr>
        <w:t xml:space="preserve"> </w:t>
      </w:r>
      <w:proofErr w:type="spellStart"/>
      <w:r w:rsidR="005934A8">
        <w:rPr>
          <w:bCs/>
        </w:rPr>
        <w:t>Its</w:t>
      </w:r>
      <w:proofErr w:type="spellEnd"/>
      <w:r w:rsidR="005934A8">
        <w:rPr>
          <w:bCs/>
        </w:rPr>
        <w:t xml:space="preserve"> </w:t>
      </w:r>
      <w:r w:rsidR="00903B99">
        <w:rPr>
          <w:bCs/>
        </w:rPr>
        <w:t>clear</w:t>
      </w:r>
      <w:r w:rsidR="00F26BC2">
        <w:rPr>
          <w:bCs/>
        </w:rPr>
        <w:t xml:space="preserve"> the traditional mechanisms </w:t>
      </w:r>
      <w:r w:rsidR="001E1F88">
        <w:rPr>
          <w:bCs/>
        </w:rPr>
        <w:t xml:space="preserve">have </w:t>
      </w:r>
      <w:r w:rsidR="00F26BC2">
        <w:rPr>
          <w:bCs/>
        </w:rPr>
        <w:t xml:space="preserve">failed investors </w:t>
      </w:r>
      <w:r w:rsidR="00903B99">
        <w:rPr>
          <w:bCs/>
        </w:rPr>
        <w:t>dreadfully in the referenced entities</w:t>
      </w:r>
      <w:r w:rsidR="00F26BC2">
        <w:rPr>
          <w:bCs/>
        </w:rPr>
        <w:t xml:space="preserve"> </w:t>
      </w:r>
      <w:r w:rsidR="001E1F88">
        <w:rPr>
          <w:bCs/>
        </w:rPr>
        <w:t xml:space="preserve">resulting in shareholders suffering </w:t>
      </w:r>
      <w:r w:rsidR="00F26BC2">
        <w:rPr>
          <w:bCs/>
        </w:rPr>
        <w:t>huge losses</w:t>
      </w:r>
      <w:r w:rsidR="00903B99">
        <w:rPr>
          <w:bCs/>
        </w:rPr>
        <w:t xml:space="preserve"> and, In the words of the Ca</w:t>
      </w:r>
      <w:r w:rsidR="00DD7709">
        <w:rPr>
          <w:bCs/>
        </w:rPr>
        <w:t>rillion Parliamentary Report, the</w:t>
      </w:r>
      <w:r w:rsidR="00903B99">
        <w:rPr>
          <w:bCs/>
        </w:rPr>
        <w:t xml:space="preserve"> need to “</w:t>
      </w:r>
      <w:r w:rsidR="00903B99" w:rsidRPr="009E6BCF">
        <w:rPr>
          <w:bCs/>
        </w:rPr>
        <w:t>reset our systems of corporate accountability in the long-term public interest</w:t>
      </w:r>
      <w:r w:rsidR="00903B99">
        <w:rPr>
          <w:bCs/>
        </w:rPr>
        <w:t>.”</w:t>
      </w:r>
    </w:p>
    <w:p w14:paraId="2A979923" w14:textId="13D277B5" w:rsidR="007B7763" w:rsidRDefault="007B7763" w:rsidP="00060C4F">
      <w:pPr>
        <w:rPr>
          <w:bCs/>
        </w:rPr>
      </w:pPr>
      <w:r>
        <w:rPr>
          <w:bCs/>
        </w:rPr>
        <w:t xml:space="preserve">Perhaps one answer </w:t>
      </w:r>
      <w:r w:rsidR="00D84DCE">
        <w:rPr>
          <w:bCs/>
        </w:rPr>
        <w:t>may be</w:t>
      </w:r>
      <w:r>
        <w:rPr>
          <w:bCs/>
        </w:rPr>
        <w:t xml:space="preserve"> found </w:t>
      </w:r>
      <w:r w:rsidR="00D84DCE">
        <w:rPr>
          <w:bCs/>
        </w:rPr>
        <w:t xml:space="preserve">in </w:t>
      </w:r>
      <w:hyperlink r:id="rId13" w:history="1">
        <w:r w:rsidR="000E69AE" w:rsidRPr="002D7B3C">
          <w:rPr>
            <w:rStyle w:val="Hyperlink"/>
            <w:bCs/>
          </w:rPr>
          <w:t>a</w:t>
        </w:r>
        <w:r w:rsidR="0003487B" w:rsidRPr="002D7B3C">
          <w:rPr>
            <w:rStyle w:val="Hyperlink"/>
            <w:bCs/>
          </w:rPr>
          <w:t>n</w:t>
        </w:r>
        <w:r w:rsidRPr="002D7B3C">
          <w:rPr>
            <w:rStyle w:val="Hyperlink"/>
            <w:bCs/>
          </w:rPr>
          <w:t xml:space="preserve"> article in the FT by Neil </w:t>
        </w:r>
        <w:proofErr w:type="spellStart"/>
        <w:r w:rsidRPr="002D7B3C">
          <w:rPr>
            <w:rStyle w:val="Hyperlink"/>
            <w:bCs/>
          </w:rPr>
          <w:t>Chisman</w:t>
        </w:r>
        <w:proofErr w:type="spellEnd"/>
      </w:hyperlink>
      <w:r w:rsidR="000E69AE">
        <w:rPr>
          <w:rStyle w:val="FootnoteReference"/>
          <w:bCs/>
        </w:rPr>
        <w:footnoteReference w:id="7"/>
      </w:r>
      <w:r>
        <w:rPr>
          <w:bCs/>
        </w:rPr>
        <w:t xml:space="preserve"> that backward looking accounts don</w:t>
      </w:r>
      <w:r w:rsidR="007946FF">
        <w:rPr>
          <w:bCs/>
        </w:rPr>
        <w:t>’</w:t>
      </w:r>
      <w:r>
        <w:rPr>
          <w:bCs/>
        </w:rPr>
        <w:t xml:space="preserve">t help the shareholders who </w:t>
      </w:r>
      <w:r w:rsidR="00A36DA2">
        <w:rPr>
          <w:bCs/>
        </w:rPr>
        <w:t xml:space="preserve">rather </w:t>
      </w:r>
      <w:r>
        <w:rPr>
          <w:bCs/>
        </w:rPr>
        <w:t xml:space="preserve">need “management each year to </w:t>
      </w:r>
      <w:r w:rsidR="00212917">
        <w:rPr>
          <w:bCs/>
        </w:rPr>
        <w:t xml:space="preserve">update and </w:t>
      </w:r>
      <w:r>
        <w:rPr>
          <w:bCs/>
        </w:rPr>
        <w:t>publish its forecast</w:t>
      </w:r>
      <w:r w:rsidR="007946FF">
        <w:rPr>
          <w:bCs/>
        </w:rPr>
        <w:t>,</w:t>
      </w:r>
      <w:r>
        <w:rPr>
          <w:bCs/>
        </w:rPr>
        <w:t xml:space="preserve"> then the financial system would be </w:t>
      </w:r>
      <w:r w:rsidR="00DF3951">
        <w:rPr>
          <w:bCs/>
        </w:rPr>
        <w:t xml:space="preserve">much </w:t>
      </w:r>
      <w:r>
        <w:rPr>
          <w:bCs/>
        </w:rPr>
        <w:t>more effective</w:t>
      </w:r>
      <w:r w:rsidR="00DF3951">
        <w:rPr>
          <w:bCs/>
        </w:rPr>
        <w:t>,</w:t>
      </w:r>
      <w:r>
        <w:rPr>
          <w:bCs/>
        </w:rPr>
        <w:t xml:space="preserve"> bringing a raft of benefits</w:t>
      </w:r>
      <w:r w:rsidR="005115AD">
        <w:rPr>
          <w:bCs/>
        </w:rPr>
        <w:t>.</w:t>
      </w:r>
      <w:r>
        <w:rPr>
          <w:bCs/>
        </w:rPr>
        <w:t xml:space="preserve">” </w:t>
      </w:r>
    </w:p>
    <w:p w14:paraId="3D335BC1" w14:textId="72077314" w:rsidR="000E69AE" w:rsidRDefault="00EB78FF" w:rsidP="00060C4F">
      <w:pPr>
        <w:rPr>
          <w:bCs/>
        </w:rPr>
      </w:pPr>
      <w:proofErr w:type="spellStart"/>
      <w:r>
        <w:rPr>
          <w:bCs/>
        </w:rPr>
        <w:t>Chisman</w:t>
      </w:r>
      <w:proofErr w:type="spellEnd"/>
      <w:r>
        <w:rPr>
          <w:bCs/>
        </w:rPr>
        <w:t xml:space="preserve"> </w:t>
      </w:r>
      <w:r w:rsidR="0003638B">
        <w:rPr>
          <w:bCs/>
        </w:rPr>
        <w:t>propose</w:t>
      </w:r>
      <w:r>
        <w:rPr>
          <w:bCs/>
        </w:rPr>
        <w:t xml:space="preserve">s public companies </w:t>
      </w:r>
      <w:r w:rsidR="00CE289A">
        <w:rPr>
          <w:bCs/>
        </w:rPr>
        <w:t>use historic cost accounting with reduced accounting standards</w:t>
      </w:r>
      <w:r w:rsidR="00CC3031">
        <w:rPr>
          <w:bCs/>
        </w:rPr>
        <w:t>. Companies</w:t>
      </w:r>
      <w:r w:rsidR="000F3A9E">
        <w:rPr>
          <w:bCs/>
        </w:rPr>
        <w:t xml:space="preserve"> would</w:t>
      </w:r>
      <w:r>
        <w:rPr>
          <w:bCs/>
        </w:rPr>
        <w:t xml:space="preserve"> publish </w:t>
      </w:r>
      <w:r w:rsidR="00CE289A">
        <w:rPr>
          <w:bCs/>
        </w:rPr>
        <w:t xml:space="preserve">auditable </w:t>
      </w:r>
      <w:proofErr w:type="gramStart"/>
      <w:r>
        <w:rPr>
          <w:bCs/>
        </w:rPr>
        <w:t>ten year</w:t>
      </w:r>
      <w:proofErr w:type="gramEnd"/>
      <w:r>
        <w:rPr>
          <w:bCs/>
        </w:rPr>
        <w:t xml:space="preserve"> forecasts </w:t>
      </w:r>
      <w:r w:rsidR="000E69AE">
        <w:rPr>
          <w:bCs/>
        </w:rPr>
        <w:t>with results in the same format</w:t>
      </w:r>
      <w:r w:rsidR="00212917">
        <w:rPr>
          <w:bCs/>
        </w:rPr>
        <w:t>, together with their calculated cost of capital, estimated company valuations and indicated share price</w:t>
      </w:r>
      <w:r w:rsidR="000E69AE">
        <w:rPr>
          <w:bCs/>
        </w:rPr>
        <w:t xml:space="preserve">. He speculates that forecasting standards would evolve, allowing analysts to “put their efforts more usefully into reviewing and criticising management’s forecast, valuation and current year’s results in comparison with previous forecasts” leading to </w:t>
      </w:r>
      <w:r w:rsidR="00F275E9">
        <w:rPr>
          <w:bCs/>
        </w:rPr>
        <w:t>sharper</w:t>
      </w:r>
      <w:r w:rsidR="000E69AE">
        <w:rPr>
          <w:bCs/>
        </w:rPr>
        <w:t xml:space="preserve"> focus on “credible forecast cashflows than spurious definitions of profit”, better results and “millions of private companies would be freed from the burden of producing complicated accounts that benefit no one.”</w:t>
      </w:r>
    </w:p>
    <w:p w14:paraId="663F99EE" w14:textId="7FE7CB24" w:rsidR="008B6429" w:rsidRDefault="00186274" w:rsidP="00060C4F">
      <w:pPr>
        <w:rPr>
          <w:bCs/>
        </w:rPr>
      </w:pPr>
      <w:r>
        <w:rPr>
          <w:bCs/>
        </w:rPr>
        <w:t>Forecast</w:t>
      </w:r>
      <w:r w:rsidR="000F3A9E" w:rsidRPr="008E6D3F">
        <w:rPr>
          <w:bCs/>
        </w:rPr>
        <w:t>5</w:t>
      </w:r>
      <w:r w:rsidR="00AE019E">
        <w:rPr>
          <w:bCs/>
        </w:rPr>
        <w:t xml:space="preserve"> Limited, </w:t>
      </w:r>
      <w:r w:rsidR="008E6D3F" w:rsidRPr="008E6D3F">
        <w:rPr>
          <w:bCs/>
        </w:rPr>
        <w:t>New Zeala</w:t>
      </w:r>
      <w:r w:rsidR="007030C4">
        <w:rPr>
          <w:bCs/>
        </w:rPr>
        <w:t xml:space="preserve">nd </w:t>
      </w:r>
      <w:r w:rsidR="00B9378A">
        <w:rPr>
          <w:bCs/>
        </w:rPr>
        <w:t>and UK distributor, KBR Ltd</w:t>
      </w:r>
      <w:r w:rsidR="00A03AD3">
        <w:rPr>
          <w:bCs/>
        </w:rPr>
        <w:t>,</w:t>
      </w:r>
      <w:r w:rsidR="00B9378A">
        <w:rPr>
          <w:bCs/>
        </w:rPr>
        <w:t xml:space="preserve"> </w:t>
      </w:r>
      <w:r w:rsidR="00AE019E">
        <w:rPr>
          <w:bCs/>
        </w:rPr>
        <w:t>accept this</w:t>
      </w:r>
      <w:r w:rsidR="007030C4">
        <w:rPr>
          <w:bCs/>
        </w:rPr>
        <w:t xml:space="preserve"> </w:t>
      </w:r>
      <w:r w:rsidR="008E6D3F" w:rsidRPr="008E6D3F">
        <w:rPr>
          <w:bCs/>
        </w:rPr>
        <w:t>challenge.</w:t>
      </w:r>
      <w:r w:rsidR="000F3A9E">
        <w:rPr>
          <w:bCs/>
        </w:rPr>
        <w:t xml:space="preserve"> </w:t>
      </w:r>
      <w:r w:rsidR="009034AE">
        <w:rPr>
          <w:bCs/>
        </w:rPr>
        <w:t xml:space="preserve">Our software, </w:t>
      </w:r>
      <w:proofErr w:type="gramStart"/>
      <w:r w:rsidR="00B667B0">
        <w:rPr>
          <w:b/>
          <w:bCs/>
        </w:rPr>
        <w:t>Forecast</w:t>
      </w:r>
      <w:proofErr w:type="gramEnd"/>
      <w:r w:rsidR="00B667B0">
        <w:rPr>
          <w:b/>
          <w:bCs/>
        </w:rPr>
        <w:t xml:space="preserve"> 5</w:t>
      </w:r>
      <w:r w:rsidR="009034AE">
        <w:rPr>
          <w:b/>
          <w:bCs/>
        </w:rPr>
        <w:t>,</w:t>
      </w:r>
      <w:r w:rsidR="008E6D3F">
        <w:rPr>
          <w:bCs/>
        </w:rPr>
        <w:t xml:space="preserve"> </w:t>
      </w:r>
      <w:r w:rsidR="000F3A9E">
        <w:rPr>
          <w:bCs/>
        </w:rPr>
        <w:t xml:space="preserve">produces </w:t>
      </w:r>
      <w:r w:rsidR="007030C4" w:rsidRPr="007C6F0A">
        <w:rPr>
          <w:bCs/>
          <w:i/>
        </w:rPr>
        <w:t>integrated</w:t>
      </w:r>
      <w:r w:rsidR="007030C4">
        <w:rPr>
          <w:bCs/>
        </w:rPr>
        <w:t xml:space="preserve"> </w:t>
      </w:r>
      <w:r w:rsidR="008E6D3F">
        <w:rPr>
          <w:bCs/>
        </w:rPr>
        <w:t>Cashfl</w:t>
      </w:r>
      <w:r w:rsidR="00B50D2A">
        <w:rPr>
          <w:bCs/>
        </w:rPr>
        <w:t>ow</w:t>
      </w:r>
      <w:r w:rsidR="008E6D3F">
        <w:rPr>
          <w:bCs/>
        </w:rPr>
        <w:t xml:space="preserve">, </w:t>
      </w:r>
      <w:r w:rsidR="00B50D2A">
        <w:rPr>
          <w:bCs/>
        </w:rPr>
        <w:t>Balance Sheet</w:t>
      </w:r>
      <w:r w:rsidR="000F3A9E">
        <w:rPr>
          <w:bCs/>
        </w:rPr>
        <w:t>, Profi</w:t>
      </w:r>
      <w:r w:rsidR="00B50D2A">
        <w:rPr>
          <w:bCs/>
        </w:rPr>
        <w:t>t and Loss</w:t>
      </w:r>
      <w:r w:rsidR="005F192A">
        <w:rPr>
          <w:bCs/>
        </w:rPr>
        <w:t xml:space="preserve"> and </w:t>
      </w:r>
      <w:r w:rsidR="009034AE">
        <w:rPr>
          <w:bCs/>
        </w:rPr>
        <w:t xml:space="preserve">FundsFlow Statements </w:t>
      </w:r>
      <w:r w:rsidR="00B667B0">
        <w:rPr>
          <w:bCs/>
        </w:rPr>
        <w:t xml:space="preserve">for </w:t>
      </w:r>
      <w:proofErr w:type="spellStart"/>
      <w:r w:rsidR="00B667B0">
        <w:rPr>
          <w:bCs/>
        </w:rPr>
        <w:t>upto</w:t>
      </w:r>
      <w:proofErr w:type="spellEnd"/>
      <w:r w:rsidR="00B667B0">
        <w:rPr>
          <w:bCs/>
        </w:rPr>
        <w:t xml:space="preserve"> 15 years</w:t>
      </w:r>
      <w:r w:rsidR="001625B4">
        <w:rPr>
          <w:bCs/>
        </w:rPr>
        <w:t xml:space="preserve"> together with </w:t>
      </w:r>
      <w:r w:rsidR="002D3AB2">
        <w:rPr>
          <w:bCs/>
        </w:rPr>
        <w:t>variance anal</w:t>
      </w:r>
      <w:r w:rsidR="007C6F0A">
        <w:rPr>
          <w:bCs/>
        </w:rPr>
        <w:t>yses</w:t>
      </w:r>
      <w:r w:rsidR="002D3AB2">
        <w:rPr>
          <w:bCs/>
        </w:rPr>
        <w:t>, comparing</w:t>
      </w:r>
      <w:r w:rsidR="001625B4">
        <w:rPr>
          <w:bCs/>
        </w:rPr>
        <w:t xml:space="preserve"> forecast</w:t>
      </w:r>
      <w:r w:rsidR="007030C4">
        <w:rPr>
          <w:bCs/>
        </w:rPr>
        <w:t>s</w:t>
      </w:r>
      <w:r w:rsidR="002D3AB2">
        <w:rPr>
          <w:bCs/>
        </w:rPr>
        <w:t xml:space="preserve"> to actual</w:t>
      </w:r>
      <w:r w:rsidR="001625B4">
        <w:rPr>
          <w:bCs/>
        </w:rPr>
        <w:t>s</w:t>
      </w:r>
      <w:r w:rsidR="002D3AB2">
        <w:rPr>
          <w:bCs/>
        </w:rPr>
        <w:t xml:space="preserve">, </w:t>
      </w:r>
      <w:r w:rsidR="00C96CAD">
        <w:rPr>
          <w:bCs/>
        </w:rPr>
        <w:t>including</w:t>
      </w:r>
      <w:r w:rsidR="002D3AB2">
        <w:rPr>
          <w:bCs/>
        </w:rPr>
        <w:t xml:space="preserve"> </w:t>
      </w:r>
      <w:r w:rsidR="005F192A">
        <w:rPr>
          <w:bCs/>
        </w:rPr>
        <w:t>KPIs and rolling forecasts</w:t>
      </w:r>
      <w:r w:rsidR="002D3AB2">
        <w:rPr>
          <w:bCs/>
        </w:rPr>
        <w:t>.</w:t>
      </w:r>
      <w:r w:rsidR="005F192A">
        <w:rPr>
          <w:bCs/>
        </w:rPr>
        <w:t xml:space="preserve"> Forecast 5 </w:t>
      </w:r>
      <w:r w:rsidR="0071495F">
        <w:rPr>
          <w:bCs/>
        </w:rPr>
        <w:t>handles</w:t>
      </w:r>
      <w:r w:rsidR="005F192A">
        <w:rPr>
          <w:bCs/>
        </w:rPr>
        <w:t xml:space="preserve"> virtually every business scen</w:t>
      </w:r>
      <w:r w:rsidR="0071495F">
        <w:rPr>
          <w:bCs/>
        </w:rPr>
        <w:t>ario, such as forex</w:t>
      </w:r>
      <w:r w:rsidR="005F192A">
        <w:rPr>
          <w:bCs/>
        </w:rPr>
        <w:t xml:space="preserve">, consolidations, </w:t>
      </w:r>
      <w:r w:rsidR="00242D12">
        <w:rPr>
          <w:bCs/>
        </w:rPr>
        <w:t xml:space="preserve">contract retentions, </w:t>
      </w:r>
      <w:r w:rsidR="00472484">
        <w:rPr>
          <w:bCs/>
        </w:rPr>
        <w:t xml:space="preserve">services, manufacturing, </w:t>
      </w:r>
      <w:r w:rsidR="005F192A">
        <w:rPr>
          <w:bCs/>
        </w:rPr>
        <w:t xml:space="preserve">stock </w:t>
      </w:r>
      <w:r w:rsidR="0071495F">
        <w:rPr>
          <w:bCs/>
        </w:rPr>
        <w:t>and WIP, factoring</w:t>
      </w:r>
      <w:r w:rsidR="005F192A">
        <w:rPr>
          <w:bCs/>
        </w:rPr>
        <w:t xml:space="preserve">, </w:t>
      </w:r>
      <w:r w:rsidR="0071495F">
        <w:rPr>
          <w:bCs/>
        </w:rPr>
        <w:t>payroll</w:t>
      </w:r>
      <w:r w:rsidR="00DD105C">
        <w:rPr>
          <w:bCs/>
        </w:rPr>
        <w:t xml:space="preserve"> </w:t>
      </w:r>
      <w:r w:rsidR="00A84EBE">
        <w:rPr>
          <w:bCs/>
        </w:rPr>
        <w:t>modelling</w:t>
      </w:r>
      <w:r w:rsidR="00592725">
        <w:rPr>
          <w:bCs/>
        </w:rPr>
        <w:t>, not-for-profits</w:t>
      </w:r>
      <w:r w:rsidR="00DD105C">
        <w:rPr>
          <w:bCs/>
        </w:rPr>
        <w:t xml:space="preserve"> </w:t>
      </w:r>
      <w:r w:rsidR="005F192A">
        <w:rPr>
          <w:bCs/>
        </w:rPr>
        <w:t>and i</w:t>
      </w:r>
      <w:r w:rsidR="00DD105C">
        <w:rPr>
          <w:bCs/>
        </w:rPr>
        <w:t>ntegrates</w:t>
      </w:r>
      <w:r w:rsidR="005F192A">
        <w:rPr>
          <w:bCs/>
        </w:rPr>
        <w:t xml:space="preserve"> with </w:t>
      </w:r>
      <w:r w:rsidR="004E4EF6">
        <w:rPr>
          <w:bCs/>
        </w:rPr>
        <w:t>various accounting packages</w:t>
      </w:r>
      <w:r w:rsidR="008B6429">
        <w:rPr>
          <w:bCs/>
        </w:rPr>
        <w:t>.</w:t>
      </w:r>
    </w:p>
    <w:p w14:paraId="0F2908AF" w14:textId="2EF1D870" w:rsidR="000F3A9E" w:rsidRPr="002D305A" w:rsidRDefault="00212B82" w:rsidP="00060C4F">
      <w:pPr>
        <w:rPr>
          <w:bCs/>
          <w:sz w:val="24"/>
          <w:szCs w:val="24"/>
        </w:rPr>
      </w:pPr>
      <w:r>
        <w:rPr>
          <w:bCs/>
        </w:rPr>
        <w:t>Armed w</w:t>
      </w:r>
      <w:r w:rsidR="00E11AB8">
        <w:rPr>
          <w:bCs/>
        </w:rPr>
        <w:t xml:space="preserve">ith robust </w:t>
      </w:r>
      <w:r w:rsidR="002D305A">
        <w:rPr>
          <w:bCs/>
        </w:rPr>
        <w:t>forecasts</w:t>
      </w:r>
      <w:r w:rsidR="00E11AB8">
        <w:rPr>
          <w:bCs/>
        </w:rPr>
        <w:t xml:space="preserve"> non-execs,</w:t>
      </w:r>
      <w:r w:rsidR="008B6429">
        <w:rPr>
          <w:bCs/>
        </w:rPr>
        <w:t xml:space="preserve"> shareholders and auditors </w:t>
      </w:r>
      <w:r w:rsidR="00E11AB8">
        <w:rPr>
          <w:bCs/>
        </w:rPr>
        <w:t>should have</w:t>
      </w:r>
      <w:r w:rsidR="008B6429">
        <w:rPr>
          <w:bCs/>
        </w:rPr>
        <w:t xml:space="preserve"> </w:t>
      </w:r>
      <w:r w:rsidR="00D82C6D">
        <w:rPr>
          <w:bCs/>
        </w:rPr>
        <w:t xml:space="preserve">constructively </w:t>
      </w:r>
      <w:r w:rsidR="00E302A2">
        <w:rPr>
          <w:bCs/>
        </w:rPr>
        <w:t>challenge</w:t>
      </w:r>
      <w:r w:rsidR="002D305A">
        <w:rPr>
          <w:bCs/>
        </w:rPr>
        <w:t>d</w:t>
      </w:r>
      <w:r w:rsidR="008B6429">
        <w:rPr>
          <w:bCs/>
        </w:rPr>
        <w:t xml:space="preserve"> management in Steinhoff, Carillion </w:t>
      </w:r>
      <w:r w:rsidR="00E302A2">
        <w:rPr>
          <w:bCs/>
        </w:rPr>
        <w:t xml:space="preserve">and </w:t>
      </w:r>
      <w:r w:rsidR="008B6429">
        <w:rPr>
          <w:bCs/>
        </w:rPr>
        <w:t>Patisserie Valerie</w:t>
      </w:r>
      <w:r w:rsidR="00E11AB8">
        <w:rPr>
          <w:bCs/>
        </w:rPr>
        <w:t xml:space="preserve"> </w:t>
      </w:r>
      <w:r w:rsidR="002D305A">
        <w:rPr>
          <w:bCs/>
        </w:rPr>
        <w:t>demanding</w:t>
      </w:r>
      <w:r w:rsidR="00761F2C">
        <w:rPr>
          <w:bCs/>
        </w:rPr>
        <w:t xml:space="preserve"> to </w:t>
      </w:r>
      <w:r w:rsidR="002D305A">
        <w:rPr>
          <w:bCs/>
        </w:rPr>
        <w:t>know</w:t>
      </w:r>
      <w:r w:rsidR="008B6429">
        <w:rPr>
          <w:bCs/>
        </w:rPr>
        <w:t xml:space="preserve"> – </w:t>
      </w:r>
      <w:r w:rsidR="008B6429" w:rsidRPr="002D305A">
        <w:rPr>
          <w:b/>
          <w:bCs/>
          <w:i/>
          <w:sz w:val="24"/>
          <w:szCs w:val="24"/>
        </w:rPr>
        <w:t>Wh</w:t>
      </w:r>
      <w:r w:rsidR="00DE2850">
        <w:rPr>
          <w:b/>
          <w:bCs/>
          <w:i/>
          <w:sz w:val="24"/>
          <w:szCs w:val="24"/>
        </w:rPr>
        <w:t xml:space="preserve">at’ve you done with </w:t>
      </w:r>
      <w:r w:rsidR="00592725">
        <w:rPr>
          <w:b/>
          <w:bCs/>
          <w:i/>
          <w:sz w:val="24"/>
          <w:szCs w:val="24"/>
        </w:rPr>
        <w:t>the</w:t>
      </w:r>
      <w:r w:rsidR="008B6429" w:rsidRPr="002D305A">
        <w:rPr>
          <w:b/>
          <w:bCs/>
          <w:i/>
          <w:sz w:val="24"/>
          <w:szCs w:val="24"/>
        </w:rPr>
        <w:t xml:space="preserve"> cash!</w:t>
      </w:r>
    </w:p>
    <w:p w14:paraId="178BBDAC" w14:textId="2E4A9230" w:rsidR="00F13ACA" w:rsidRDefault="00F13ACA" w:rsidP="00060C4F">
      <w:pPr>
        <w:rPr>
          <w:bCs/>
        </w:rPr>
      </w:pPr>
    </w:p>
    <w:p w14:paraId="41E0456F" w14:textId="4B0AB07C" w:rsidR="008B6429" w:rsidRDefault="00DC42DF" w:rsidP="00060C4F">
      <w:pPr>
        <w:rPr>
          <w:bCs/>
        </w:rPr>
      </w:pPr>
      <w:r>
        <w:rPr>
          <w:bCs/>
        </w:rPr>
        <w:t>For a demonstration</w:t>
      </w:r>
      <w:r w:rsidR="007817E2">
        <w:rPr>
          <w:bCs/>
        </w:rPr>
        <w:t>,</w:t>
      </w:r>
      <w:r>
        <w:rPr>
          <w:bCs/>
        </w:rPr>
        <w:t xml:space="preserve"> please contact Johnny Kipps at </w:t>
      </w:r>
      <w:r w:rsidR="007817E2">
        <w:rPr>
          <w:bCs/>
        </w:rPr>
        <w:t>UK d</w:t>
      </w:r>
      <w:r>
        <w:rPr>
          <w:bCs/>
        </w:rPr>
        <w:t>istributor</w:t>
      </w:r>
      <w:r w:rsidR="007817E2">
        <w:rPr>
          <w:bCs/>
        </w:rPr>
        <w:t>,</w:t>
      </w:r>
      <w:r>
        <w:rPr>
          <w:bCs/>
        </w:rPr>
        <w:t xml:space="preserve"> KBR Ltd</w:t>
      </w:r>
      <w:r w:rsidR="007817E2">
        <w:rPr>
          <w:bCs/>
        </w:rPr>
        <w:t xml:space="preserve">, on 07770 608 900, </w:t>
      </w:r>
      <w:hyperlink r:id="rId14" w:history="1">
        <w:r w:rsidRPr="00F867C2">
          <w:rPr>
            <w:rStyle w:val="Hyperlink"/>
            <w:bCs/>
          </w:rPr>
          <w:t>Johnny@Forecast5.co.uk</w:t>
        </w:r>
      </w:hyperlink>
      <w:r w:rsidR="00533204">
        <w:rPr>
          <w:bCs/>
        </w:rPr>
        <w:t xml:space="preserve">, or download a </w:t>
      </w:r>
      <w:r>
        <w:rPr>
          <w:bCs/>
        </w:rPr>
        <w:t xml:space="preserve">21-day trial at </w:t>
      </w:r>
      <w:hyperlink r:id="rId15" w:history="1">
        <w:r w:rsidRPr="00F867C2">
          <w:rPr>
            <w:rStyle w:val="Hyperlink"/>
            <w:bCs/>
          </w:rPr>
          <w:t>www.forecast5.co.uk/trial/</w:t>
        </w:r>
      </w:hyperlink>
      <w:r>
        <w:rPr>
          <w:bCs/>
        </w:rPr>
        <w:t xml:space="preserve"> </w:t>
      </w:r>
    </w:p>
    <w:sectPr w:rsidR="008B64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403A" w14:textId="77777777" w:rsidR="006E429D" w:rsidRDefault="006E429D" w:rsidP="004F3B35">
      <w:pPr>
        <w:spacing w:after="0" w:line="240" w:lineRule="auto"/>
      </w:pPr>
      <w:r>
        <w:separator/>
      </w:r>
    </w:p>
  </w:endnote>
  <w:endnote w:type="continuationSeparator" w:id="0">
    <w:p w14:paraId="3A785315" w14:textId="77777777" w:rsidR="006E429D" w:rsidRDefault="006E429D" w:rsidP="004F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6F32" w14:textId="77777777" w:rsidR="006E429D" w:rsidRDefault="006E429D" w:rsidP="004F3B35">
      <w:pPr>
        <w:spacing w:after="0" w:line="240" w:lineRule="auto"/>
      </w:pPr>
      <w:r>
        <w:separator/>
      </w:r>
    </w:p>
  </w:footnote>
  <w:footnote w:type="continuationSeparator" w:id="0">
    <w:p w14:paraId="3654D4C4" w14:textId="77777777" w:rsidR="006E429D" w:rsidRDefault="006E429D" w:rsidP="004F3B35">
      <w:pPr>
        <w:spacing w:after="0" w:line="240" w:lineRule="auto"/>
      </w:pPr>
      <w:r>
        <w:continuationSeparator/>
      </w:r>
    </w:p>
  </w:footnote>
  <w:footnote w:id="1">
    <w:p w14:paraId="2F31D276" w14:textId="0AAFDE91" w:rsidR="005113EA" w:rsidRDefault="005113EA">
      <w:pPr>
        <w:pStyle w:val="FootnoteText"/>
      </w:pPr>
      <w:r>
        <w:rPr>
          <w:rStyle w:val="FootnoteReference"/>
        </w:rPr>
        <w:footnoteRef/>
      </w:r>
      <w:r>
        <w:t xml:space="preserve"> UK Corporate Governance Code 2018, Principle H</w:t>
      </w:r>
    </w:p>
  </w:footnote>
  <w:footnote w:id="2">
    <w:p w14:paraId="5DCC8FE3" w14:textId="48F6CC62" w:rsidR="004F3B35" w:rsidRDefault="004F3B35">
      <w:pPr>
        <w:pStyle w:val="FootnoteText"/>
      </w:pPr>
      <w:r>
        <w:rPr>
          <w:rStyle w:val="FootnoteReference"/>
        </w:rPr>
        <w:footnoteRef/>
      </w:r>
      <w:r>
        <w:t xml:space="preserve"> </w:t>
      </w:r>
      <w:r w:rsidR="00CD4337">
        <w:t>Ibid</w:t>
      </w:r>
      <w:r>
        <w:t>, Principle M.</w:t>
      </w:r>
    </w:p>
  </w:footnote>
  <w:footnote w:id="3">
    <w:p w14:paraId="22B76D07" w14:textId="04E5746C" w:rsidR="00CD4337" w:rsidRDefault="00CD4337">
      <w:pPr>
        <w:pStyle w:val="FootnoteText"/>
      </w:pPr>
      <w:r>
        <w:rPr>
          <w:rStyle w:val="FootnoteReference"/>
        </w:rPr>
        <w:footnoteRef/>
      </w:r>
      <w:r>
        <w:t xml:space="preserve"> Ibid, Note 28, and  </w:t>
      </w:r>
    </w:p>
  </w:footnote>
  <w:footnote w:id="4">
    <w:p w14:paraId="7E24E928" w14:textId="5385E64D" w:rsidR="00CD4337" w:rsidRDefault="00CD4337">
      <w:pPr>
        <w:pStyle w:val="FootnoteText"/>
      </w:pPr>
      <w:r>
        <w:rPr>
          <w:rStyle w:val="FootnoteReference"/>
        </w:rPr>
        <w:footnoteRef/>
      </w:r>
      <w:r>
        <w:t xml:space="preserve"> Ibid, Footnote 9.</w:t>
      </w:r>
    </w:p>
  </w:footnote>
  <w:footnote w:id="5">
    <w:p w14:paraId="33A73B39" w14:textId="2931307C" w:rsidR="007C2DAC" w:rsidRDefault="007C2DAC">
      <w:pPr>
        <w:pStyle w:val="FootnoteText"/>
      </w:pPr>
      <w:r>
        <w:rPr>
          <w:rStyle w:val="FootnoteReference"/>
        </w:rPr>
        <w:footnoteRef/>
      </w:r>
      <w:r>
        <w:t xml:space="preserve"> </w:t>
      </w:r>
      <w:r w:rsidR="00AA467A">
        <w:t>UK Parliament Enquiry into the collapse of Carillion, Published 16 May 2018</w:t>
      </w:r>
    </w:p>
  </w:footnote>
  <w:footnote w:id="6">
    <w:p w14:paraId="76D73246" w14:textId="6DA2AB4C" w:rsidR="00712B73" w:rsidRDefault="00712B73">
      <w:pPr>
        <w:pStyle w:val="FootnoteText"/>
      </w:pPr>
      <w:r>
        <w:rPr>
          <w:rStyle w:val="FootnoteReference"/>
        </w:rPr>
        <w:footnoteRef/>
      </w:r>
      <w:r w:rsidR="00FF1F17">
        <w:t xml:space="preserve"> FT, October 24 &amp; November </w:t>
      </w:r>
      <w:proofErr w:type="gramStart"/>
      <w:r w:rsidR="00FF1F17">
        <w:t>15</w:t>
      </w:r>
      <w:proofErr w:type="gramEnd"/>
      <w:r w:rsidR="00FF1F17">
        <w:t xml:space="preserve"> </w:t>
      </w:r>
      <w:r>
        <w:t>2018</w:t>
      </w:r>
    </w:p>
  </w:footnote>
  <w:footnote w:id="7">
    <w:p w14:paraId="21A139A3" w14:textId="505F5E09" w:rsidR="000E69AE" w:rsidRDefault="000E69AE">
      <w:pPr>
        <w:pStyle w:val="FootnoteText"/>
      </w:pPr>
      <w:r>
        <w:rPr>
          <w:rStyle w:val="FootnoteReference"/>
        </w:rPr>
        <w:footnoteRef/>
      </w:r>
      <w:r>
        <w:t xml:space="preserve"> FT, September 27,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76"/>
    <w:rsid w:val="00030043"/>
    <w:rsid w:val="0003487B"/>
    <w:rsid w:val="0003638B"/>
    <w:rsid w:val="00060C4F"/>
    <w:rsid w:val="000820CB"/>
    <w:rsid w:val="000821A4"/>
    <w:rsid w:val="000E69AE"/>
    <w:rsid w:val="000F3A9E"/>
    <w:rsid w:val="001625B4"/>
    <w:rsid w:val="00186274"/>
    <w:rsid w:val="001E1F88"/>
    <w:rsid w:val="002074B5"/>
    <w:rsid w:val="00212917"/>
    <w:rsid w:val="00212B82"/>
    <w:rsid w:val="00234F1F"/>
    <w:rsid w:val="00242D12"/>
    <w:rsid w:val="00250222"/>
    <w:rsid w:val="00274A98"/>
    <w:rsid w:val="002855B2"/>
    <w:rsid w:val="002A4FEE"/>
    <w:rsid w:val="002C77CA"/>
    <w:rsid w:val="002D305A"/>
    <w:rsid w:val="002D3AB2"/>
    <w:rsid w:val="002D7B3C"/>
    <w:rsid w:val="0030516E"/>
    <w:rsid w:val="00317D03"/>
    <w:rsid w:val="00322410"/>
    <w:rsid w:val="00380693"/>
    <w:rsid w:val="00393FFB"/>
    <w:rsid w:val="003C2C72"/>
    <w:rsid w:val="00422429"/>
    <w:rsid w:val="00422C83"/>
    <w:rsid w:val="00427E98"/>
    <w:rsid w:val="004348D9"/>
    <w:rsid w:val="00471FDD"/>
    <w:rsid w:val="00472484"/>
    <w:rsid w:val="00490964"/>
    <w:rsid w:val="00496E33"/>
    <w:rsid w:val="004B3AB2"/>
    <w:rsid w:val="004B7880"/>
    <w:rsid w:val="004C1DBC"/>
    <w:rsid w:val="004D7A56"/>
    <w:rsid w:val="004E4EF6"/>
    <w:rsid w:val="004F3B35"/>
    <w:rsid w:val="005113EA"/>
    <w:rsid w:val="005115AD"/>
    <w:rsid w:val="00516EEB"/>
    <w:rsid w:val="00532A49"/>
    <w:rsid w:val="00533204"/>
    <w:rsid w:val="0055661E"/>
    <w:rsid w:val="00557599"/>
    <w:rsid w:val="005608A8"/>
    <w:rsid w:val="005849C0"/>
    <w:rsid w:val="0059022B"/>
    <w:rsid w:val="00592725"/>
    <w:rsid w:val="00593138"/>
    <w:rsid w:val="005934A8"/>
    <w:rsid w:val="005B5530"/>
    <w:rsid w:val="005C0416"/>
    <w:rsid w:val="005E1D27"/>
    <w:rsid w:val="005F192A"/>
    <w:rsid w:val="005F2B79"/>
    <w:rsid w:val="00601604"/>
    <w:rsid w:val="00645104"/>
    <w:rsid w:val="0066363E"/>
    <w:rsid w:val="006B1B93"/>
    <w:rsid w:val="006B2B9B"/>
    <w:rsid w:val="006B46F6"/>
    <w:rsid w:val="006B561B"/>
    <w:rsid w:val="006E429D"/>
    <w:rsid w:val="007030C4"/>
    <w:rsid w:val="0070526B"/>
    <w:rsid w:val="00712B73"/>
    <w:rsid w:val="0071495F"/>
    <w:rsid w:val="00752D5A"/>
    <w:rsid w:val="00761F2C"/>
    <w:rsid w:val="007817E2"/>
    <w:rsid w:val="007946FF"/>
    <w:rsid w:val="007A61F4"/>
    <w:rsid w:val="007B00F0"/>
    <w:rsid w:val="007B383C"/>
    <w:rsid w:val="007B7763"/>
    <w:rsid w:val="007C2DAC"/>
    <w:rsid w:val="007C6F0A"/>
    <w:rsid w:val="007E77C8"/>
    <w:rsid w:val="007F3307"/>
    <w:rsid w:val="008010AA"/>
    <w:rsid w:val="00821E7A"/>
    <w:rsid w:val="00867965"/>
    <w:rsid w:val="008A47C5"/>
    <w:rsid w:val="008A7834"/>
    <w:rsid w:val="008B4559"/>
    <w:rsid w:val="008B6429"/>
    <w:rsid w:val="008E14FE"/>
    <w:rsid w:val="008E6D3F"/>
    <w:rsid w:val="009034AE"/>
    <w:rsid w:val="00903B99"/>
    <w:rsid w:val="009055D2"/>
    <w:rsid w:val="009332CB"/>
    <w:rsid w:val="00961341"/>
    <w:rsid w:val="009901F2"/>
    <w:rsid w:val="009D0EBC"/>
    <w:rsid w:val="009E1D85"/>
    <w:rsid w:val="009E6BCF"/>
    <w:rsid w:val="00A00E18"/>
    <w:rsid w:val="00A03AD3"/>
    <w:rsid w:val="00A07C2A"/>
    <w:rsid w:val="00A10D76"/>
    <w:rsid w:val="00A32526"/>
    <w:rsid w:val="00A34F48"/>
    <w:rsid w:val="00A36DA2"/>
    <w:rsid w:val="00A533CE"/>
    <w:rsid w:val="00A84EBE"/>
    <w:rsid w:val="00AA467A"/>
    <w:rsid w:val="00AE019E"/>
    <w:rsid w:val="00AE4E6F"/>
    <w:rsid w:val="00AE77ED"/>
    <w:rsid w:val="00B03E3F"/>
    <w:rsid w:val="00B50B67"/>
    <w:rsid w:val="00B50D2A"/>
    <w:rsid w:val="00B52E30"/>
    <w:rsid w:val="00B667B0"/>
    <w:rsid w:val="00B9378A"/>
    <w:rsid w:val="00BC54DE"/>
    <w:rsid w:val="00BF7B37"/>
    <w:rsid w:val="00C32C45"/>
    <w:rsid w:val="00C363B2"/>
    <w:rsid w:val="00C77E64"/>
    <w:rsid w:val="00C810CA"/>
    <w:rsid w:val="00C855F1"/>
    <w:rsid w:val="00C868CA"/>
    <w:rsid w:val="00C96CAD"/>
    <w:rsid w:val="00CA1AD0"/>
    <w:rsid w:val="00CB315D"/>
    <w:rsid w:val="00CC3031"/>
    <w:rsid w:val="00CC45F0"/>
    <w:rsid w:val="00CD4337"/>
    <w:rsid w:val="00CE289A"/>
    <w:rsid w:val="00D57BF3"/>
    <w:rsid w:val="00D82C6D"/>
    <w:rsid w:val="00D82D3C"/>
    <w:rsid w:val="00D84DCE"/>
    <w:rsid w:val="00DC42DF"/>
    <w:rsid w:val="00DC5602"/>
    <w:rsid w:val="00DD105C"/>
    <w:rsid w:val="00DD4A2B"/>
    <w:rsid w:val="00DD7709"/>
    <w:rsid w:val="00DE0341"/>
    <w:rsid w:val="00DE2850"/>
    <w:rsid w:val="00DF3951"/>
    <w:rsid w:val="00E01912"/>
    <w:rsid w:val="00E11AB8"/>
    <w:rsid w:val="00E2257F"/>
    <w:rsid w:val="00E22788"/>
    <w:rsid w:val="00E302A2"/>
    <w:rsid w:val="00E5442C"/>
    <w:rsid w:val="00EA7C8D"/>
    <w:rsid w:val="00EB78FF"/>
    <w:rsid w:val="00ED2F7F"/>
    <w:rsid w:val="00EF4385"/>
    <w:rsid w:val="00F02D5E"/>
    <w:rsid w:val="00F13ACA"/>
    <w:rsid w:val="00F26BC2"/>
    <w:rsid w:val="00F275E9"/>
    <w:rsid w:val="00FE16A5"/>
    <w:rsid w:val="00FE230E"/>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75C6"/>
  <w15:chartTrackingRefBased/>
  <w15:docId w15:val="{78D2F5BD-89D5-4B29-96D3-AAABB8C1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60C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F3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B35"/>
    <w:rPr>
      <w:sz w:val="20"/>
      <w:szCs w:val="20"/>
    </w:rPr>
  </w:style>
  <w:style w:type="character" w:styleId="EndnoteReference">
    <w:name w:val="endnote reference"/>
    <w:basedOn w:val="DefaultParagraphFont"/>
    <w:uiPriority w:val="99"/>
    <w:semiHidden/>
    <w:unhideWhenUsed/>
    <w:rsid w:val="004F3B35"/>
    <w:rPr>
      <w:vertAlign w:val="superscript"/>
    </w:rPr>
  </w:style>
  <w:style w:type="paragraph" w:styleId="FootnoteText">
    <w:name w:val="footnote text"/>
    <w:basedOn w:val="Normal"/>
    <w:link w:val="FootnoteTextChar"/>
    <w:uiPriority w:val="99"/>
    <w:semiHidden/>
    <w:unhideWhenUsed/>
    <w:rsid w:val="004F3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35"/>
    <w:rPr>
      <w:sz w:val="20"/>
      <w:szCs w:val="20"/>
    </w:rPr>
  </w:style>
  <w:style w:type="character" w:styleId="FootnoteReference">
    <w:name w:val="footnote reference"/>
    <w:basedOn w:val="DefaultParagraphFont"/>
    <w:uiPriority w:val="99"/>
    <w:semiHidden/>
    <w:unhideWhenUsed/>
    <w:rsid w:val="004F3B35"/>
    <w:rPr>
      <w:vertAlign w:val="superscript"/>
    </w:rPr>
  </w:style>
  <w:style w:type="character" w:styleId="Hyperlink">
    <w:name w:val="Hyperlink"/>
    <w:basedOn w:val="DefaultParagraphFont"/>
    <w:uiPriority w:val="99"/>
    <w:unhideWhenUsed/>
    <w:rsid w:val="00D82D3C"/>
    <w:rPr>
      <w:color w:val="0563C1" w:themeColor="hyperlink"/>
      <w:u w:val="single"/>
    </w:rPr>
  </w:style>
  <w:style w:type="character" w:styleId="UnresolvedMention">
    <w:name w:val="Unresolved Mention"/>
    <w:basedOn w:val="DefaultParagraphFont"/>
    <w:uiPriority w:val="99"/>
    <w:semiHidden/>
    <w:unhideWhenUsed/>
    <w:rsid w:val="00D82D3C"/>
    <w:rPr>
      <w:color w:val="808080"/>
      <w:shd w:val="clear" w:color="auto" w:fill="E6E6E6"/>
    </w:rPr>
  </w:style>
  <w:style w:type="character" w:styleId="Strong">
    <w:name w:val="Strong"/>
    <w:basedOn w:val="DefaultParagraphFont"/>
    <w:uiPriority w:val="22"/>
    <w:qFormat/>
    <w:rsid w:val="009E6BCF"/>
    <w:rPr>
      <w:b/>
      <w:bCs/>
    </w:rPr>
  </w:style>
  <w:style w:type="character" w:customStyle="1" w:styleId="Heading4Char">
    <w:name w:val="Heading 4 Char"/>
    <w:basedOn w:val="DefaultParagraphFont"/>
    <w:link w:val="Heading4"/>
    <w:uiPriority w:val="9"/>
    <w:rsid w:val="00060C4F"/>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5F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79"/>
    <w:rPr>
      <w:rFonts w:ascii="Segoe UI" w:hAnsi="Segoe UI" w:cs="Segoe UI"/>
      <w:sz w:val="18"/>
      <w:szCs w:val="18"/>
    </w:rPr>
  </w:style>
  <w:style w:type="character" w:styleId="FollowedHyperlink">
    <w:name w:val="FollowedHyperlink"/>
    <w:basedOn w:val="DefaultParagraphFont"/>
    <w:uiPriority w:val="99"/>
    <w:semiHidden/>
    <w:unhideWhenUsed/>
    <w:rsid w:val="00471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t.com/content/640147ac-c17d-11e8-95b1-d36dfef1b89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t.com/content/0f969794-0689-11e8-9650-9c0ad2d7c5b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cm201719/cmselect/cmworpen/769/76902.htm" TargetMode="External"/><Relationship Id="rId5" Type="http://schemas.openxmlformats.org/officeDocument/2006/relationships/styles" Target="styles.xml"/><Relationship Id="rId15" Type="http://schemas.openxmlformats.org/officeDocument/2006/relationships/hyperlink" Target="http://www.forecast5.co.uk/trial/"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ohnny@Forecast5.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4307322EDCEB458646F78B204E5E87" ma:contentTypeVersion="5" ma:contentTypeDescription="Create a new document." ma:contentTypeScope="" ma:versionID="892ca4a43a8c725f9743ada6db6104e7">
  <xsd:schema xmlns:xsd="http://www.w3.org/2001/XMLSchema" xmlns:xs="http://www.w3.org/2001/XMLSchema" xmlns:p="http://schemas.microsoft.com/office/2006/metadata/properties" xmlns:ns2="277db62e-87e2-45a6-aad6-fb51098554ef" targetNamespace="http://schemas.microsoft.com/office/2006/metadata/properties" ma:root="true" ma:fieldsID="8bcfea99183dee3e3c307ea2713d643c" ns2:_="">
    <xsd:import namespace="277db62e-87e2-45a6-aad6-fb51098554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db62e-87e2-45a6-aad6-fb5109855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5364-C8C8-4F6A-9BAC-02BA3B9A1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A296A-5465-4AD7-8CC5-998CDD109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db62e-87e2-45a6-aad6-fb510985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3F332-C7CF-41EF-9963-89654DAD3B8B}">
  <ds:schemaRefs>
    <ds:schemaRef ds:uri="http://schemas.microsoft.com/sharepoint/v3/contenttype/forms"/>
  </ds:schemaRefs>
</ds:datastoreItem>
</file>

<file path=customXml/itemProps4.xml><?xml version="1.0" encoding="utf-8"?>
<ds:datastoreItem xmlns:ds="http://schemas.openxmlformats.org/officeDocument/2006/customXml" ds:itemID="{C0C6AFA3-315D-4FCE-A7C0-E3489691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Kipps</dc:creator>
  <cp:keywords/>
  <dc:description/>
  <cp:lastModifiedBy>Johnny Kipps</cp:lastModifiedBy>
  <cp:revision>2</cp:revision>
  <cp:lastPrinted>2018-11-16T11:32:00Z</cp:lastPrinted>
  <dcterms:created xsi:type="dcterms:W3CDTF">2019-03-18T15:59:00Z</dcterms:created>
  <dcterms:modified xsi:type="dcterms:W3CDTF">2019-03-18T15:59:00Z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0x010100354307322EDCEB458646F78B204E5E87</vt:lpwstr>
  </property>
</Properties>
</file>